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09" w:rsidRPr="00AD0609" w:rsidRDefault="00AD0609" w:rsidP="00AD0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09">
        <w:rPr>
          <w:rFonts w:ascii="Georgia" w:eastAsia="Times New Roman" w:hAnsi="Georgia" w:cs="Times New Roman"/>
          <w:b/>
          <w:bCs/>
          <w:sz w:val="20"/>
          <w:lang w:eastAsia="ru-RU"/>
        </w:rPr>
        <w:t>Нормативно-правове та методичне забезпечення виховного процесу в загальноосвітньому навчальному закладі</w:t>
      </w:r>
    </w:p>
    <w:p w:rsidR="00AD0609" w:rsidRPr="00AD0609" w:rsidRDefault="00AD0609" w:rsidP="00AD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>1. Загальна декларація прав людини, прийнята і проголошена Генеральною асамблеєю Організац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ії О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б’єднаних Націй 10 грудня 1948 року.</w:t>
      </w:r>
    </w:p>
    <w:p w:rsidR="00AD0609" w:rsidRPr="00AD0609" w:rsidRDefault="00AD0609" w:rsidP="00AD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>2. Декларація прав дитини, проголошена Генеральною асамблеєю Організацій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О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б’єднаних Націй 20 листопада 1959 року.</w:t>
      </w:r>
    </w:p>
    <w:p w:rsidR="00AD0609" w:rsidRPr="00AD0609" w:rsidRDefault="00AD0609" w:rsidP="00AD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>3. Конвенція про права дитини, прийнята Генеральною асамблеєю Організац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ії О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б’єднаних Націй 20 листопада 1989 року.</w:t>
      </w:r>
    </w:p>
    <w:p w:rsidR="00AD0609" w:rsidRPr="00AD0609" w:rsidRDefault="00AD0609" w:rsidP="00AD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>4. Всесвітня декларація про забезпечення виживання, захисту і розвитку дітей, прийнята на Всесвітній зустрічі на вищому рівні в інтересах дітей, яка відбулася в Організац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ії О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б’єднаних Націй в м. Нью-Йорку 30 вересня 1990 року.</w:t>
      </w:r>
    </w:p>
    <w:p w:rsidR="00AD0609" w:rsidRPr="00AD0609" w:rsidRDefault="00AD0609" w:rsidP="00AD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>5. Конституція (Основний Закон) України, прийнята Верховною Радою України 28 червня 1996 року.</w:t>
      </w:r>
    </w:p>
    <w:p w:rsidR="00AD0609" w:rsidRPr="00AD0609" w:rsidRDefault="00AD0609" w:rsidP="00AD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6. Концепція виховання дітей і молоді в національній системі освіти, затверджена колегією Міністерства освіти і науки України 28 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лютого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1996 року.</w:t>
      </w:r>
    </w:p>
    <w:p w:rsidR="00AD0609" w:rsidRPr="00AD0609" w:rsidRDefault="00AD0609" w:rsidP="00AD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>7. Проект Концепції виховання громадянина України // Позакласний час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.п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люс. – 2006. – № 3. – С. 15-31.</w:t>
      </w:r>
    </w:p>
    <w:p w:rsidR="00AD0609" w:rsidRPr="00AD0609" w:rsidRDefault="00AD0609" w:rsidP="00AD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>8. Положення про організацію фізичного виховання і масового спорту в дошкільних, загальноосвітніх і професійно-технічних навчальних закладах України. // Директор школи. – 2005. – № 38. – с. 23-32.</w:t>
      </w:r>
    </w:p>
    <w:p w:rsidR="00AD0609" w:rsidRPr="00AD0609" w:rsidRDefault="00AD0609" w:rsidP="00AD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>9. «Про молодіжні та дитячі громадські організації» від 23.05.1991 року № 1060-ХІІ.</w:t>
      </w:r>
    </w:p>
    <w:p w:rsidR="00AD0609" w:rsidRPr="00AD0609" w:rsidRDefault="00AD0609" w:rsidP="00AD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10. Концепція художньо-естетичного виховання учнів у загальноосвітніх навчальних закладах, наказ Міністерства освіти і науки України від 25 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лютого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2004 року № 151/14.</w:t>
      </w:r>
    </w:p>
    <w:p w:rsidR="00AD0609" w:rsidRPr="00AD0609" w:rsidRDefault="00AD0609" w:rsidP="00AD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11. 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Концепція формування позитивної мотивації на здоровий спосіб життя у дітей та молоді, затверджена наказом Міністерства освіти і науки України від 21.06.2004 року № 605.</w:t>
      </w:r>
      <w:proofErr w:type="gramEnd"/>
    </w:p>
    <w:p w:rsidR="00AD0609" w:rsidRPr="00AD0609" w:rsidRDefault="00AD0609" w:rsidP="00AD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12. Додаток № 4 до 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р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ішення Колегії МОН від 17.08.2000 «Рекомендації щодо порядку використання державної символіки в навчальних закладах України» (Освіта Україні. – 2000. -№ 33 (16 серпня)).</w:t>
      </w:r>
    </w:p>
    <w:p w:rsidR="00AD0609" w:rsidRPr="00AD0609" w:rsidRDefault="00AD0609" w:rsidP="00AD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13. «Про посилення уваги до використання державної символіки у дошкільних. загальноосвітніх, професійно-технічних та позашкільних навчальних 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закладах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» Методичний лист Міністерства освіти і науки України від 25.02.2004 року № 1/9-86.</w:t>
      </w:r>
    </w:p>
    <w:p w:rsidR="00AD0609" w:rsidRPr="00AD0609" w:rsidRDefault="00AD0609" w:rsidP="00AD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14. РЕКОМЕНДАЦІЇ ЩОДО ОРГАНІЗАЦІЇ І ПРОВЕДЕННЯ МЕТОДИЧНОЇ РОБОТИ 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З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ПЕДАГОГІЧНИМИ КАДРАМИ В СИСТЕМІ ПІСЛЯДИПЛОМНОЇ ПЕДАГОГІЧНОЇ ОСВІТИ. Міністерство освіти і науки Українивід 03.07.2002 р. № 1/9 – 318</w:t>
      </w:r>
    </w:p>
    <w:p w:rsidR="00AD0609" w:rsidRPr="00AD0609" w:rsidRDefault="00AD0609" w:rsidP="00AD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>15. Рекомендації щодо планування роботи класного керівника навчального закладу системи загальноосвітньої середньої освіти, Міністерство освіти і науки України від 30.08.2002 року № 1/9-392.// Директор школи. – 2003. – № 3-4.</w:t>
      </w:r>
    </w:p>
    <w:p w:rsidR="00AD0609" w:rsidRPr="00AD0609" w:rsidRDefault="00AD0609" w:rsidP="00AD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>16. Положення про класного керівника навчального закладу системи загальної середньої освіти. від 16 вересня 2006 р. № 434.</w:t>
      </w:r>
    </w:p>
    <w:p w:rsidR="00AD0609" w:rsidRPr="00AD0609" w:rsidRDefault="00AD0609" w:rsidP="00AD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>17. Про затвердження Змі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н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до «Положення про класного керівника навчального закладу системи загальної середньої освіти». Наказ Міністерства освіти і науки України від 29.06.2006 року № 489.</w:t>
      </w:r>
    </w:p>
    <w:p w:rsidR="00AD0609" w:rsidRPr="00AD0609" w:rsidRDefault="00AD0609" w:rsidP="00AD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18. Про затвердження «Основних орієнтирів виховання учнів 1-12 класів загальноосвітніх навчальних закладів України» наказ Міністерства освіти і науки України 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в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ід 17.12.2007 року № 1133.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AD0609">
        <w:rPr>
          <w:rFonts w:ascii="Georgia" w:eastAsia="Times New Roman" w:hAnsi="Georgia" w:cs="Times New Roman"/>
          <w:b/>
          <w:bCs/>
          <w:sz w:val="20"/>
          <w:lang w:eastAsia="ru-RU"/>
        </w:rPr>
        <w:t>Закони України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lastRenderedPageBreak/>
        <w:t>19. «Про освіту» від 23.03.1996 р. № 100/96-ВР (зі змінами і доповненнями).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>20. «Про загальну середню освіту» від 12.05.1999 р. № 651-ХІV.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>21. «Про позашкільну освіту» від 22.06.2000 р. № 1841-ІІІ.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AD0609">
        <w:rPr>
          <w:rFonts w:ascii="Georgia" w:eastAsia="Times New Roman" w:hAnsi="Georgia" w:cs="Times New Roman"/>
          <w:b/>
          <w:bCs/>
          <w:sz w:val="20"/>
          <w:lang w:eastAsia="ru-RU"/>
        </w:rPr>
        <w:t>Укази Президента України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>22. «Про затвердження Національної доктрини розвитку освіти» від 17.04.2002 р. № 347/2002.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23. «Про невідкладні додаткові заходи щодо зміцнення моральності у суспільстві та утвердження 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здорового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способу життя» від 15.03.2002 р. № 258/2002.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>24.«Про Національну програму правової освіти населення» від 18.10.2001 р. № 992/2001.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25. «Про заходи щодо поліпшення становища багатодітних 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сімей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» від 12.11.1999 р. № 1460/99.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26. «Про додаткові заходи щодо посилення 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соц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іального захисту багатодітних і неповних сімей» від 20.12.2000 р. № 1396/2000.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AD0609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br/>
      </w:r>
      <w:r w:rsidRPr="00AD0609">
        <w:rPr>
          <w:rFonts w:ascii="Georgia" w:eastAsia="Times New Roman" w:hAnsi="Georgia" w:cs="Times New Roman"/>
          <w:b/>
          <w:bCs/>
          <w:sz w:val="20"/>
          <w:lang w:eastAsia="ru-RU"/>
        </w:rPr>
        <w:t>Постанови Кабінету Міні</w:t>
      </w:r>
      <w:proofErr w:type="gramStart"/>
      <w:r w:rsidRPr="00AD0609">
        <w:rPr>
          <w:rFonts w:ascii="Georgia" w:eastAsia="Times New Roman" w:hAnsi="Georgia" w:cs="Times New Roman"/>
          <w:b/>
          <w:bCs/>
          <w:sz w:val="20"/>
          <w:lang w:eastAsia="ru-RU"/>
        </w:rPr>
        <w:t>стр</w:t>
      </w:r>
      <w:proofErr w:type="gramEnd"/>
      <w:r w:rsidRPr="00AD0609">
        <w:rPr>
          <w:rFonts w:ascii="Georgia" w:eastAsia="Times New Roman" w:hAnsi="Georgia" w:cs="Times New Roman"/>
          <w:b/>
          <w:bCs/>
          <w:sz w:val="20"/>
          <w:lang w:eastAsia="ru-RU"/>
        </w:rPr>
        <w:t>ів України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>27. «Про затвердження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Д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ержавної програми «Онкологія» на 2002 – 2006 рр.» від 29.03.2002 р. № 392.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28. «Про затвердження 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Положення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про загальноосвітній навчальний заклад» від 14.06.2000 р. № 946.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>29. «Про Програму «Українська родина» від 14.03.2001 р. № 243.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30. «Про затвердження Національної програми патріотичного виховання населення, формування 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здорового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способу життя, розвитку духовності та зміцнення моральних засад суспільства» від 15.09.1999 р. № 1697.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>31. «Про Програму запобігання торгі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вл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і жінками та дітьми» від 25.09.1999 р. № 1768.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>32. Проект Концепції громадянського виховання особистості в умовах розвитку Української державності // Педагогічна газета. – 2000 р. - № 6(72) (червень).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>33. Концепція державної сімейної політики, схвалена Постановою Верховно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ї Р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ади України від 17.09.1999 р. № 1063-ХІV.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AD0609">
        <w:rPr>
          <w:rFonts w:ascii="Georgia" w:eastAsia="Times New Roman" w:hAnsi="Georgia" w:cs="Times New Roman"/>
          <w:b/>
          <w:bCs/>
          <w:sz w:val="20"/>
          <w:lang w:eastAsia="ru-RU"/>
        </w:rPr>
        <w:t>Література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34. Волкова Н.П. Педагогіка: 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Пос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ібник. – К.: Видавничий центр «Академія» , 2003.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35. Доценко Т. Крок за кроком до дитячого самоврядування: Методичний 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пос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ібник для координаторів та лідерів дитячого самоврядування. – Кіровоград, 2003.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36. Дем’янюк Т.Д., Лашта В.І., Мельничук Л.С., Байрамова М.Г. Інноваційні технології методичної роботи з педагогічними кадрами району: Навчально-методичний 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пос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 xml:space="preserve">ібник. – 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Р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івне: Волинські обереги, 2005 – 250 с.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37. Коберник О.М. Управління виховним процесом у загальноосвітньому навчальному закладі: Монографія. – К.: Наук. 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св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іт, 2003. – 230 с.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38. Кацинська Л. Виховний процес в сучасній школі. 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Р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івне, 1997.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>39. Орієнтовний змі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ст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виховання в національній школі. – Київ, 1996. – 132 с.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40. Практична педагогіка виховання: 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Пос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ібник з теорії та методики виховання/ за ред. Красовицького. – Киї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в-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Іванофранківськ.: «ПЛАЙ» , 2000.</w:t>
      </w:r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br/>
        <w:t>41. Сорока Г.І. Організація виховної роботи: планування, аналіз, методичне забезпечення. – Х.: Вид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gramStart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г</w:t>
      </w:r>
      <w:proofErr w:type="gramEnd"/>
      <w:r w:rsidRPr="00AD0609">
        <w:rPr>
          <w:rFonts w:ascii="Georgia" w:eastAsia="Times New Roman" w:hAnsi="Georgia" w:cs="Times New Roman"/>
          <w:sz w:val="20"/>
          <w:szCs w:val="20"/>
          <w:lang w:eastAsia="ru-RU"/>
        </w:rPr>
        <w:t>рупа «Основа» , 2005. – 128 с.</w:t>
      </w:r>
    </w:p>
    <w:p w:rsidR="00B518E2" w:rsidRDefault="00B518E2"/>
    <w:sectPr w:rsidR="00B518E2" w:rsidSect="00B5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609"/>
    <w:rsid w:val="00AD0609"/>
    <w:rsid w:val="00B5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2010-09-24T19:02:00Z</dcterms:created>
  <dcterms:modified xsi:type="dcterms:W3CDTF">2010-09-24T19:02:00Z</dcterms:modified>
</cp:coreProperties>
</file>